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2184A" w:rsidP="00C2184A">
      <w:pPr>
        <w:spacing w:line="480" w:lineRule="auto"/>
        <w:jc w:val="right"/>
      </w:pPr>
      <w:bookmarkStart w:id="0" w:name="_GoBack"/>
      <w:bookmarkEnd w:id="0"/>
      <w:r>
        <w:t>Name</w:t>
      </w:r>
    </w:p>
    <w:p w:rsidR="00C2184A" w:rsidP="00C2184A">
      <w:pPr>
        <w:spacing w:line="480" w:lineRule="auto"/>
        <w:jc w:val="right"/>
      </w:pPr>
      <w:r>
        <w:t xml:space="preserve">Assignment number </w:t>
      </w:r>
    </w:p>
    <w:p w:rsidR="00C2184A" w:rsidP="00C2184A">
      <w:pPr>
        <w:spacing w:line="480" w:lineRule="auto"/>
        <w:jc w:val="right"/>
      </w:pPr>
      <w:r>
        <w:t>Date</w:t>
      </w:r>
    </w:p>
    <w:p w:rsidR="00C2184A" w:rsidP="00DB6C2B">
      <w:pPr>
        <w:spacing w:line="480" w:lineRule="auto"/>
        <w:jc w:val="center"/>
        <w:rPr>
          <w:b/>
        </w:rPr>
      </w:pPr>
    </w:p>
    <w:p w:rsidR="00914092" w:rsidP="00DB6C2B">
      <w:pPr>
        <w:spacing w:line="480" w:lineRule="auto"/>
      </w:pPr>
    </w:p>
    <w:p w:rsidR="00DB6C2B" w:rsidP="00DB6C2B">
      <w:pPr>
        <w:spacing w:line="480" w:lineRule="auto"/>
      </w:pPr>
    </w:p>
    <w:p w:rsidR="00DB6C2B" w:rsidP="00DB6C2B">
      <w:pPr>
        <w:spacing w:line="480" w:lineRule="auto"/>
      </w:pPr>
    </w:p>
    <w:p w:rsidR="00DB6C2B" w:rsidP="00DB6C2B">
      <w:pPr>
        <w:spacing w:line="480" w:lineRule="auto"/>
      </w:pPr>
    </w:p>
    <w:p w:rsidR="00DB6C2B" w:rsidP="00DB6C2B">
      <w:pPr>
        <w:spacing w:line="480" w:lineRule="auto"/>
      </w:pPr>
    </w:p>
    <w:p w:rsidR="00DB6C2B" w:rsidP="00DB6C2B"/>
    <w:p w:rsidR="00DB6C2B" w:rsidP="00DB6C2B"/>
    <w:p w:rsidR="00DB6C2B" w:rsidP="00DB6C2B"/>
    <w:p w:rsidR="00DB6C2B" w:rsidP="00DB6C2B"/>
    <w:p w:rsidR="00DB6C2B" w:rsidP="00DB6C2B"/>
    <w:p w:rsidR="00DB6C2B">
      <w:r>
        <w:br w:type="page"/>
      </w: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:rsidTr="00B9176D">
        <w:tblPrEx>
          <w:tblW w:w="0" w:type="auto"/>
          <w:tblLook w:val="04A0"/>
        </w:tblPrEx>
        <w:tc>
          <w:tcPr>
            <w:tcW w:w="2337" w:type="dxa"/>
          </w:tcPr>
          <w:p w:rsidR="00B9176D" w:rsidP="00DB6C2B">
            <w:r>
              <w:t xml:space="preserve">Joint type </w:t>
            </w:r>
          </w:p>
        </w:tc>
        <w:tc>
          <w:tcPr>
            <w:tcW w:w="2337" w:type="dxa"/>
          </w:tcPr>
          <w:p w:rsidR="00B9176D" w:rsidP="00DB6C2B">
            <w:r>
              <w:t xml:space="preserve">Fibrous </w:t>
            </w:r>
            <w:r w:rsidR="00C2184A">
              <w:t xml:space="preserve">joints </w:t>
            </w:r>
          </w:p>
        </w:tc>
        <w:tc>
          <w:tcPr>
            <w:tcW w:w="2338" w:type="dxa"/>
          </w:tcPr>
          <w:p w:rsidR="00B9176D" w:rsidP="00DB6C2B">
            <w:r>
              <w:t xml:space="preserve">Cartilaginous </w:t>
            </w:r>
            <w:r w:rsidR="00C2184A">
              <w:t xml:space="preserve">joints </w:t>
            </w:r>
          </w:p>
        </w:tc>
        <w:tc>
          <w:tcPr>
            <w:tcW w:w="2338" w:type="dxa"/>
          </w:tcPr>
          <w:p w:rsidR="00B9176D" w:rsidP="00DB6C2B">
            <w:r>
              <w:t xml:space="preserve">Synovial </w:t>
            </w:r>
            <w:r w:rsidR="00C2184A">
              <w:t xml:space="preserve">joints </w:t>
            </w:r>
          </w:p>
        </w:tc>
      </w:tr>
      <w:tr w:rsidTr="00B9176D">
        <w:tblPrEx>
          <w:tblW w:w="0" w:type="auto"/>
          <w:tblLook w:val="04A0"/>
        </w:tblPrEx>
        <w:tc>
          <w:tcPr>
            <w:tcW w:w="2337" w:type="dxa"/>
          </w:tcPr>
          <w:p w:rsidR="00B9176D" w:rsidP="00DB6C2B">
            <w:r>
              <w:t xml:space="preserve">Structure </w:t>
            </w:r>
          </w:p>
        </w:tc>
        <w:tc>
          <w:tcPr>
            <w:tcW w:w="2337" w:type="dxa"/>
          </w:tcPr>
          <w:p w:rsidR="00B9176D" w:rsidP="00DB6C2B">
            <w:r>
              <w:t xml:space="preserve">These joints consist of fibrous bands joining bones </w:t>
            </w:r>
            <w:r w:rsidR="00137468">
              <w:rPr>
                <w:rStyle w:val="selectable"/>
                <w:color w:val="000000"/>
              </w:rPr>
              <w:t>(Juneja et al., 2020)</w:t>
            </w:r>
            <w:r w:rsidR="003F7C9E">
              <w:rPr>
                <w:rStyle w:val="selectable"/>
                <w:color w:val="000000"/>
              </w:rPr>
              <w:t>. They form a direct connection between bones by use of fibrous bands</w:t>
            </w:r>
            <w:r w:rsidR="00A95B5C">
              <w:rPr>
                <w:rStyle w:val="selectable"/>
                <w:color w:val="000000"/>
              </w:rPr>
              <w:t xml:space="preserve"> </w:t>
            </w:r>
            <w:r w:rsidR="00A95B5C">
              <w:rPr>
                <w:rStyle w:val="selectable"/>
                <w:color w:val="000000"/>
              </w:rPr>
              <w:t>(Salva &amp; Merrill, 2016)</w:t>
            </w:r>
            <w:r w:rsidR="003F7C9E">
              <w:rPr>
                <w:rStyle w:val="selectable"/>
                <w:color w:val="000000"/>
              </w:rPr>
              <w:t xml:space="preserve">. There is no cartilage of lubricant. </w:t>
            </w:r>
          </w:p>
        </w:tc>
        <w:tc>
          <w:tcPr>
            <w:tcW w:w="2338" w:type="dxa"/>
          </w:tcPr>
          <w:p w:rsidR="00B9176D" w:rsidP="00DB6C2B">
            <w:pPr>
              <w:rPr>
                <w:rStyle w:val="selectable"/>
                <w:color w:val="000000"/>
              </w:rPr>
            </w:pPr>
            <w:r>
              <w:t xml:space="preserve">These are joint that join bones by using cartilages. Cartilage exists between two bone that allows a specific range of restricted movements </w:t>
            </w:r>
            <w:r w:rsidR="00137468">
              <w:rPr>
                <w:rStyle w:val="selectable"/>
                <w:color w:val="000000"/>
              </w:rPr>
              <w:t>(Salva &amp; Merrill, 2016)</w:t>
            </w:r>
          </w:p>
          <w:p w:rsidR="00C94EEF" w:rsidP="000F0502">
            <w:r>
              <w:rPr>
                <w:rStyle w:val="selectable"/>
                <w:color w:val="000000"/>
              </w:rPr>
              <w:t xml:space="preserve">The space Between the articulating ends of the bone is entirely made of cartilages. The </w:t>
            </w:r>
            <w:r w:rsidR="000F0502">
              <w:rPr>
                <w:rStyle w:val="selectable"/>
                <w:color w:val="000000"/>
              </w:rPr>
              <w:t xml:space="preserve">two </w:t>
            </w:r>
            <w:r>
              <w:rPr>
                <w:rStyle w:val="selectable"/>
                <w:color w:val="000000"/>
              </w:rPr>
              <w:t xml:space="preserve">types of cartilage, hyaline or fibrocartilage, </w:t>
            </w:r>
            <w:r w:rsidR="000F0502">
              <w:rPr>
                <w:rStyle w:val="selectable"/>
                <w:color w:val="000000"/>
              </w:rPr>
              <w:t>can be involved, but not in the same joint location</w:t>
            </w:r>
            <w:r w:rsidR="00A95B5C">
              <w:rPr>
                <w:rStyle w:val="selectable"/>
                <w:color w:val="000000"/>
              </w:rPr>
              <w:t xml:space="preserve"> </w:t>
            </w:r>
            <w:r w:rsidR="00A95B5C">
              <w:rPr>
                <w:rStyle w:val="selectable"/>
                <w:color w:val="000000"/>
              </w:rPr>
              <w:t>(</w:t>
            </w:r>
            <w:r w:rsidR="00A95B5C">
              <w:rPr>
                <w:rStyle w:val="selectable"/>
                <w:color w:val="000000"/>
              </w:rPr>
              <w:t>Rux</w:t>
            </w:r>
            <w:r w:rsidR="00A95B5C">
              <w:rPr>
                <w:rStyle w:val="selectable"/>
                <w:color w:val="000000"/>
              </w:rPr>
              <w:t xml:space="preserve"> et al., 2019)</w:t>
            </w:r>
            <w:r w:rsidR="000F0502">
              <w:rPr>
                <w:rStyle w:val="selectable"/>
                <w:color w:val="000000"/>
              </w:rPr>
              <w:t>.</w:t>
            </w:r>
          </w:p>
        </w:tc>
        <w:tc>
          <w:tcPr>
            <w:tcW w:w="2338" w:type="dxa"/>
          </w:tcPr>
          <w:p w:rsidR="00B9176D" w:rsidP="00F37112">
            <w:r>
              <w:t>These joints are made not only of bon</w:t>
            </w:r>
            <w:r w:rsidR="000F0502">
              <w:t>es and cartilage, but other tiss</w:t>
            </w:r>
            <w:r>
              <w:t>u</w:t>
            </w:r>
            <w:r w:rsidR="000F0502">
              <w:t>e</w:t>
            </w:r>
            <w:r>
              <w:t xml:space="preserve">s such as ligaments, tendons, capsules, menisci and </w:t>
            </w:r>
            <w:r w:rsidR="00137468">
              <w:t xml:space="preserve">These joints are distinguished from the other joints by the fluid in the cavity that separates the two articulating joints. The two articulating bones have cartilage </w:t>
            </w:r>
            <w:r w:rsidR="00F37112">
              <w:t>at their articulating ends. The fluid is also called the synovial fluid that lubricates the joint</w:t>
            </w:r>
            <w:r w:rsidR="00A95B5C">
              <w:t xml:space="preserve"> </w:t>
            </w:r>
            <w:r w:rsidR="00A95B5C">
              <w:rPr>
                <w:rStyle w:val="selectable"/>
                <w:color w:val="000000"/>
              </w:rPr>
              <w:t>(Salva &amp; Merrill, 2016)</w:t>
            </w:r>
            <w:r w:rsidR="00F37112">
              <w:t>. The muscles pass around these joints to enhance movement through contraction and relaxations</w:t>
            </w:r>
          </w:p>
        </w:tc>
      </w:tr>
      <w:tr w:rsidTr="00645050">
        <w:tblPrEx>
          <w:tblW w:w="0" w:type="auto"/>
          <w:tblLook w:val="04A0"/>
        </w:tblPrEx>
        <w:tc>
          <w:tcPr>
            <w:tcW w:w="2337" w:type="dxa"/>
          </w:tcPr>
          <w:p w:rsidR="002D0AAB" w:rsidP="00645050">
            <w:r>
              <w:t xml:space="preserve">Description </w:t>
            </w:r>
          </w:p>
        </w:tc>
        <w:tc>
          <w:tcPr>
            <w:tcW w:w="2337" w:type="dxa"/>
          </w:tcPr>
          <w:p w:rsidR="002D0AAB" w:rsidP="00645050">
            <w:r>
              <w:t>There are three types of fibrous joints: the syndesmosis, gomphoses, and sutures.</w:t>
            </w:r>
          </w:p>
          <w:p w:rsidR="002D0AAB" w:rsidP="00645050">
            <w:r>
              <w:t xml:space="preserve">The three types vary in functions and locations. </w:t>
            </w:r>
          </w:p>
          <w:p w:rsidR="000F0502" w:rsidP="00645050">
            <w:r>
              <w:t>They also vary in mobility. 
</w:t>
            </w:r>
          </w:p>
        </w:tc>
        <w:tc>
          <w:tcPr>
            <w:tcW w:w="2338" w:type="dxa"/>
          </w:tcPr>
          <w:p w:rsidR="002D0AAB" w:rsidP="00645050">
            <w:r>
              <w:t>Two types of cartilaginous joins exist; the symphyses and synchondroses.
</w:t>
            </w:r>
          </w:p>
          <w:p w:rsidR="002D0AAB" w:rsidP="00645050">
            <w:r>
              <w:t>There are two types of synchondroses: the primary and secondary synchondroses. 
</w:t>
            </w:r>
          </w:p>
          <w:p w:rsidR="000F0502" w:rsidP="00645050">
            <w:r>
              <w:t>These joints are less mobile mas compared to synovial joints but more mobile than fibrous joints. 
</w:t>
            </w:r>
          </w:p>
        </w:tc>
        <w:tc>
          <w:tcPr>
            <w:tcW w:w="2338" w:type="dxa"/>
          </w:tcPr>
          <w:p w:rsidR="002D0AAB" w:rsidP="00C94EEF">
            <w:r>
              <w:t>One of the articulating bones has a facet where the other bone inserts while the fluid inside a synovial membrane sits in between. These joints are covered by ligaments and capsules that enclose the synovium an</w:t>
            </w:r>
            <w:r w:rsidR="00C94EEF">
              <w:t>d</w:t>
            </w:r>
            <w:r>
              <w:t xml:space="preserve"> the articulation ends</w:t>
            </w:r>
            <w:r w:rsidR="00A95B5C">
              <w:t xml:space="preserve"> </w:t>
            </w:r>
            <w:r w:rsidR="00A95B5C">
              <w:rPr>
                <w:rStyle w:val="selectable"/>
                <w:color w:val="000000"/>
              </w:rPr>
              <w:t>(</w:t>
            </w:r>
            <w:r w:rsidR="00A95B5C">
              <w:rPr>
                <w:rStyle w:val="selectable"/>
                <w:color w:val="000000"/>
              </w:rPr>
              <w:t>Rux</w:t>
            </w:r>
            <w:r w:rsidR="00A95B5C">
              <w:rPr>
                <w:rStyle w:val="selectable"/>
                <w:color w:val="000000"/>
              </w:rPr>
              <w:t xml:space="preserve"> et al., 2019)</w:t>
            </w:r>
            <w:r>
              <w:t xml:space="preserve">. These joints have accessory </w:t>
            </w:r>
            <w:r>
              <w:t>ligaments that restrict excessive ranges of movements such as hyperextension of flexion.
</w:t>
            </w:r>
          </w:p>
        </w:tc>
      </w:tr>
      <w:tr w:rsidTr="00B9176D">
        <w:tblPrEx>
          <w:tblW w:w="0" w:type="auto"/>
          <w:tblLook w:val="04A0"/>
        </w:tblPrEx>
        <w:tc>
          <w:tcPr>
            <w:tcW w:w="2337" w:type="dxa"/>
          </w:tcPr>
          <w:p w:rsidR="00F972EF" w:rsidP="00DB6C2B">
            <w:r>
              <w:t xml:space="preserve">Function </w:t>
            </w:r>
          </w:p>
        </w:tc>
        <w:tc>
          <w:tcPr>
            <w:tcW w:w="2337" w:type="dxa"/>
          </w:tcPr>
          <w:p w:rsidR="00F972EF" w:rsidP="00DB6C2B">
            <w:r>
              <w:t xml:space="preserve">Supports the roots of teeth in their sockets in the jaws </w:t>
            </w:r>
          </w:p>
          <w:p w:rsidR="00181DD6" w:rsidP="00DB6C2B">
            <w:r>
              <w:t xml:space="preserve">Stabilize long bones such as tibia, fibula, radius, and ulna </w:t>
            </w:r>
          </w:p>
          <w:p w:rsidR="00181DD6" w:rsidP="00DB6C2B">
            <w:r>
              <w:t xml:space="preserve">The sutures provide elasticity during birth but become firm and rigid with time to limit </w:t>
            </w:r>
            <w:r w:rsidR="00A95B5C">
              <w:t xml:space="preserve">any movements between the </w:t>
            </w:r>
            <w:r w:rsidR="00A95B5C">
              <w:t>skull</w:t>
            </w:r>
            <w:r w:rsidR="00A95B5C">
              <w:t xml:space="preserve"> </w:t>
            </w:r>
            <w:r>
              <w:t>bones</w:t>
            </w:r>
            <w:r w:rsidR="00A95B5C">
              <w:t xml:space="preserve"> </w:t>
            </w:r>
            <w:r w:rsidR="00A95B5C">
              <w:rPr>
                <w:rStyle w:val="selectable"/>
                <w:color w:val="000000"/>
              </w:rPr>
              <w:t>(Salva &amp; Merrill, 2016)</w:t>
            </w:r>
            <w:r w:rsidR="000F0502">
              <w:t xml:space="preserve">. By uniting neighbouring bones, the joints are stable and can offer physical protection to organs enclosed inside such as the brain </w:t>
            </w:r>
            <w:r w:rsidR="00A95B5C">
              <w:rPr>
                <w:rStyle w:val="selectable"/>
                <w:color w:val="000000"/>
              </w:rPr>
              <w:t>(</w:t>
            </w:r>
            <w:r w:rsidR="00A95B5C">
              <w:rPr>
                <w:rStyle w:val="selectable"/>
                <w:color w:val="000000"/>
              </w:rPr>
              <w:t>Rux</w:t>
            </w:r>
            <w:r w:rsidR="00A95B5C">
              <w:rPr>
                <w:rStyle w:val="selectable"/>
                <w:color w:val="000000"/>
              </w:rPr>
              <w:t xml:space="preserve"> et al., 2019)</w:t>
            </w:r>
          </w:p>
        </w:tc>
        <w:tc>
          <w:tcPr>
            <w:tcW w:w="2338" w:type="dxa"/>
          </w:tcPr>
          <w:p w:rsidR="00F972EF" w:rsidP="00DB6C2B">
            <w:r>
              <w:t xml:space="preserve">The </w:t>
            </w:r>
            <w:r w:rsidR="00AB7E8A">
              <w:t>pubic symphysi</w:t>
            </w:r>
            <w:r>
              <w:t xml:space="preserve">s </w:t>
            </w:r>
            <w:r w:rsidR="00AB7E8A">
              <w:t>stretch and allows for more room during birth 
</w:t>
            </w:r>
          </w:p>
          <w:p w:rsidR="00AB7E8A" w:rsidP="00DB6C2B">
            <w:r>
              <w:t>The intervertebral discs support the vertebral column and allow a limited range of motions between vertebra</w:t>
            </w:r>
            <w:r w:rsidR="00137468">
              <w:t xml:space="preserve"> </w:t>
            </w:r>
            <w:r w:rsidR="00137468">
              <w:rPr>
                <w:rStyle w:val="selectable"/>
                <w:color w:val="000000"/>
              </w:rPr>
              <w:t>(Juneja et al., 2020)</w:t>
            </w:r>
          </w:p>
          <w:p w:rsidR="00AB7E8A" w:rsidP="00DB6C2B">
            <w:r>
              <w:t>The temporary synchondroses permit lengthening of long bones during growth. 
</w:t>
            </w:r>
          </w:p>
        </w:tc>
        <w:tc>
          <w:tcPr>
            <w:tcW w:w="2338" w:type="dxa"/>
          </w:tcPr>
          <w:p w:rsidR="00B814A6" w:rsidP="00DB6C2B">
            <w:r>
              <w:t>These joints allow ranges of limb movements that facilitate locomotion and defence. 
</w:t>
            </w:r>
          </w:p>
          <w:p w:rsidR="00F972EF" w:rsidP="00DB6C2B">
            <w:r>
              <w:t>Some of these joints participate in proprioception – the sense of balance – such as the knee joint. 
</w:t>
            </w:r>
          </w:p>
        </w:tc>
      </w:tr>
      <w:tr w:rsidTr="00B9176D">
        <w:tblPrEx>
          <w:tblW w:w="0" w:type="auto"/>
          <w:tblLook w:val="04A0"/>
        </w:tblPrEx>
        <w:tc>
          <w:tcPr>
            <w:tcW w:w="2337" w:type="dxa"/>
          </w:tcPr>
          <w:p w:rsidR="00A27CD3" w:rsidP="00DB6C2B">
            <w:r>
              <w:t xml:space="preserve">Possible Movements </w:t>
            </w:r>
          </w:p>
        </w:tc>
        <w:tc>
          <w:tcPr>
            <w:tcW w:w="2337" w:type="dxa"/>
          </w:tcPr>
          <w:p w:rsidR="00A27CD3" w:rsidP="00DB6C2B">
            <w:r>
              <w:t>These joints are fixed, and no movements are possible apart from the radioulnar synd</w:t>
            </w:r>
            <w:r w:rsidR="00181DD6">
              <w:t xml:space="preserve">esmosis that allows forearm supination and pronation </w:t>
            </w:r>
          </w:p>
        </w:tc>
        <w:tc>
          <w:tcPr>
            <w:tcW w:w="2338" w:type="dxa"/>
          </w:tcPr>
          <w:p w:rsidR="00A27CD3" w:rsidP="00C94EEF">
            <w:r>
              <w:t xml:space="preserve">These joints enable limited activities by stretching out to </w:t>
            </w:r>
            <w:r w:rsidR="00C94EEF">
              <w:t>allow movements between bones</w:t>
            </w:r>
            <w:r w:rsidR="00A95B5C">
              <w:t xml:space="preserve"> </w:t>
            </w:r>
            <w:r w:rsidR="00A95B5C">
              <w:rPr>
                <w:rStyle w:val="selectable"/>
                <w:color w:val="000000"/>
              </w:rPr>
              <w:t>(Salva &amp; Merrill, 2016)</w:t>
            </w:r>
            <w:r w:rsidR="00C94EEF">
              <w:t>. These movements are restricted. They only enable joint actions to prevent breakage of the vertebral column 
</w:t>
            </w:r>
          </w:p>
        </w:tc>
        <w:tc>
          <w:tcPr>
            <w:tcW w:w="2338" w:type="dxa"/>
          </w:tcPr>
          <w:p w:rsidR="00A27CD3" w:rsidP="00DB6C2B">
            <w:r>
              <w:t>The joints allow a variety of range of motions such as flexion &amp; extension of limbs and hip, adduction and abduction</w:t>
            </w:r>
            <w:r w:rsidR="00A95B5C">
              <w:t xml:space="preserve"> </w:t>
            </w:r>
            <w:r w:rsidR="00A95B5C">
              <w:rPr>
                <w:rStyle w:val="selectable"/>
                <w:color w:val="000000"/>
              </w:rPr>
              <w:t>(Salva &amp; Merrill, 2016)</w:t>
            </w:r>
            <w:r w:rsidR="00A95B5C">
              <w:rPr>
                <w:rStyle w:val="selectable"/>
                <w:color w:val="000000"/>
              </w:rPr>
              <w:t>.</w:t>
            </w:r>
          </w:p>
        </w:tc>
      </w:tr>
      <w:tr w:rsidTr="00B9176D">
        <w:tblPrEx>
          <w:tblW w:w="0" w:type="auto"/>
          <w:tblLook w:val="04A0"/>
        </w:tblPrEx>
        <w:tc>
          <w:tcPr>
            <w:tcW w:w="2337" w:type="dxa"/>
          </w:tcPr>
          <w:p w:rsidR="00A27CD3" w:rsidP="00DB6C2B">
            <w:r>
              <w:t xml:space="preserve">Location </w:t>
            </w:r>
          </w:p>
        </w:tc>
        <w:tc>
          <w:tcPr>
            <w:tcW w:w="2337" w:type="dxa"/>
          </w:tcPr>
          <w:p w:rsidR="00A27CD3" w:rsidP="00181DD6">
            <w:r>
              <w:t>The suture</w:t>
            </w:r>
            <w:r w:rsidR="00181DD6">
              <w:t>s are located</w:t>
            </w:r>
            <w:r>
              <w:t xml:space="preserve"> in the </w:t>
            </w:r>
            <w:r w:rsidR="00181DD6">
              <w:t xml:space="preserve">skull, while the syndesmosis </w:t>
            </w:r>
            <w:r w:rsidR="00181DD6">
              <w:t>is in the forearm</w:t>
            </w:r>
            <w:r w:rsidR="00A95B5C">
              <w:rPr>
                <w:rStyle w:val="selectable"/>
                <w:color w:val="000000"/>
              </w:rPr>
              <w:t>(</w:t>
            </w:r>
            <w:r w:rsidR="00A95B5C">
              <w:rPr>
                <w:rStyle w:val="selectable"/>
                <w:color w:val="000000"/>
              </w:rPr>
              <w:t>Rux</w:t>
            </w:r>
            <w:r w:rsidR="00A95B5C">
              <w:rPr>
                <w:rStyle w:val="selectable"/>
                <w:color w:val="000000"/>
              </w:rPr>
              <w:t xml:space="preserve"> et al., 2019)</w:t>
            </w:r>
            <w:r w:rsidR="00181DD6">
              <w:t>, and the leg. The gomphoses are situated in the jaw
</w:t>
            </w:r>
          </w:p>
        </w:tc>
        <w:tc>
          <w:tcPr>
            <w:tcW w:w="2338" w:type="dxa"/>
          </w:tcPr>
          <w:p w:rsidR="00A27CD3" w:rsidP="00DB6C2B">
            <w:r>
              <w:t>The symphy</w:t>
            </w:r>
            <w:r w:rsidR="00AB7E8A">
              <w:t xml:space="preserve">ses are located in the pubic bone, </w:t>
            </w:r>
            <w:r w:rsidR="002D0AAB">
              <w:t xml:space="preserve">vertebral column, between the </w:t>
            </w:r>
            <w:r w:rsidR="002D0AAB">
              <w:t>ribs and the sternum</w:t>
            </w:r>
            <w:r w:rsidR="00A95B5C">
              <w:t xml:space="preserve"> </w:t>
            </w:r>
            <w:r w:rsidR="00A95B5C">
              <w:rPr>
                <w:rStyle w:val="selectable"/>
                <w:color w:val="000000"/>
              </w:rPr>
              <w:t>(</w:t>
            </w:r>
            <w:r w:rsidR="00A95B5C">
              <w:rPr>
                <w:rStyle w:val="selectable"/>
                <w:color w:val="000000"/>
              </w:rPr>
              <w:t>Rux</w:t>
            </w:r>
            <w:r w:rsidR="00A95B5C">
              <w:rPr>
                <w:rStyle w:val="selectable"/>
                <w:color w:val="000000"/>
              </w:rPr>
              <w:t xml:space="preserve"> et al., 2019)</w:t>
            </w:r>
            <w:r w:rsidR="002D0AAB">
              <w:t xml:space="preserve">, </w:t>
            </w:r>
            <w:r w:rsidR="00C94EEF">
              <w:t xml:space="preserve">and at the base of the skull. </w:t>
            </w:r>
          </w:p>
        </w:tc>
        <w:tc>
          <w:tcPr>
            <w:tcW w:w="2338" w:type="dxa"/>
          </w:tcPr>
          <w:p w:rsidR="00A27CD3" w:rsidP="00DB6C2B">
            <w:r>
              <w:t xml:space="preserve">They are located in the knee, hip, elbow, shoulder, ankle, </w:t>
            </w:r>
            <w:r w:rsidR="00C94EEF">
              <w:t xml:space="preserve">and wrist joints, the </w:t>
            </w:r>
            <w:r w:rsidR="00C94EEF">
              <w:t>inter-metacarpo</w:t>
            </w:r>
            <w:r w:rsidR="00A95B5C">
              <w:t xml:space="preserve">phalangeal joints </w:t>
            </w:r>
            <w:r w:rsidR="00A95B5C">
              <w:rPr>
                <w:rStyle w:val="selectable"/>
                <w:color w:val="000000"/>
              </w:rPr>
              <w:t>(Salva &amp; Merrill, 2016)</w:t>
            </w:r>
            <w:r w:rsidR="00A95B5C">
              <w:t>.</w:t>
            </w:r>
          </w:p>
        </w:tc>
      </w:tr>
    </w:tbl>
    <w:p w:rsidR="00DB6C2B" w:rsidP="00DB6C2B"/>
    <w:p w:rsidR="00F972EF" w:rsidP="00DB6C2B"/>
    <w:p w:rsidR="00A95B5C" w:rsidP="00DB6C2B"/>
    <w:p w:rsidR="00A95B5C" w:rsidP="00DB6C2B"/>
    <w:p w:rsidR="00A95B5C" w:rsidP="00DB6C2B"/>
    <w:p w:rsidR="00A95B5C" w:rsidP="00DB6C2B"/>
    <w:p w:rsidR="00A95B5C">
      <w:pPr>
        <w:spacing w:line="259" w:lineRule="auto"/>
      </w:pPr>
      <w:r>
        <w:br w:type="page"/>
      </w:r>
    </w:p>
    <w:p w:rsidR="00F972EF" w:rsidRPr="00A30A9C" w:rsidP="00A30A9C">
      <w:pPr>
        <w:spacing w:line="259" w:lineRule="auto"/>
        <w:jc w:val="center"/>
        <w:rPr>
          <w:b/>
        </w:rPr>
      </w:pPr>
      <w:r w:rsidRPr="00A30A9C">
        <w:rPr>
          <w:b/>
        </w:rPr>
        <w:t>References</w:t>
      </w:r>
    </w:p>
    <w:p w:rsidR="00A30A9C" w:rsidP="00A30A9C">
      <w:pPr>
        <w:spacing w:line="480" w:lineRule="auto"/>
        <w:ind w:left="720" w:hanging="720"/>
        <w:rPr>
          <w:rStyle w:val="selectable"/>
          <w:color w:val="000000"/>
        </w:rPr>
      </w:pPr>
      <w:r>
        <w:rPr>
          <w:rStyle w:val="selectable"/>
          <w:color w:val="000000"/>
        </w:rPr>
        <w:t xml:space="preserve">Juneja, P., </w:t>
      </w:r>
      <w:r>
        <w:rPr>
          <w:rStyle w:val="selectable"/>
          <w:color w:val="000000"/>
        </w:rPr>
        <w:t>Munjal</w:t>
      </w:r>
      <w:r>
        <w:rPr>
          <w:rStyle w:val="selectable"/>
          <w:color w:val="000000"/>
        </w:rPr>
        <w:t xml:space="preserve">, A., &amp; Hubbard, J. (2020). </w:t>
      </w:r>
      <w:r>
        <w:rPr>
          <w:rStyle w:val="selectable"/>
          <w:i/>
          <w:iCs/>
          <w:color w:val="000000"/>
        </w:rPr>
        <w:t>Anatomy, Joints</w:t>
      </w:r>
      <w:r>
        <w:rPr>
          <w:rStyle w:val="selectable"/>
          <w:color w:val="000000"/>
        </w:rPr>
        <w:t xml:space="preserve">. Ncbi.nlm.nih.gov. Retrieved 10 October 2020, from </w:t>
      </w:r>
      <w:hyperlink r:id="rId4" w:history="1">
        <w:r w:rsidRPr="00185021">
          <w:rPr>
            <w:rStyle w:val="Hyperlink"/>
          </w:rPr>
          <w:t>https://www.ncbi.nlm.nih.gov/books/NBK507893/#article-29816.s2</w:t>
        </w:r>
      </w:hyperlink>
      <w:r>
        <w:rPr>
          <w:rStyle w:val="selectable"/>
          <w:color w:val="000000"/>
        </w:rPr>
        <w:t>.</w:t>
      </w:r>
    </w:p>
    <w:p w:rsidR="00A30A9C" w:rsidP="00A30A9C">
      <w:pPr>
        <w:spacing w:line="480" w:lineRule="auto"/>
        <w:ind w:left="720" w:hanging="720"/>
        <w:rPr>
          <w:rStyle w:val="selectable"/>
          <w:color w:val="000000"/>
        </w:rPr>
      </w:pPr>
      <w:r>
        <w:rPr>
          <w:rStyle w:val="selectable"/>
          <w:color w:val="000000"/>
        </w:rPr>
        <w:t>Rux</w:t>
      </w:r>
      <w:r>
        <w:rPr>
          <w:rStyle w:val="selectable"/>
          <w:color w:val="000000"/>
        </w:rPr>
        <w:t xml:space="preserve">, D., Decker, R., Koyama, E., &amp; </w:t>
      </w:r>
      <w:r>
        <w:rPr>
          <w:rStyle w:val="selectable"/>
          <w:color w:val="000000"/>
        </w:rPr>
        <w:t>Pacifici</w:t>
      </w:r>
      <w:r>
        <w:rPr>
          <w:rStyle w:val="selectable"/>
          <w:color w:val="000000"/>
        </w:rPr>
        <w:t xml:space="preserve">, M. (2019). Joints in the appendicular skeleton: Developmental mechanisms and evolutionary influences. </w:t>
      </w:r>
      <w:r>
        <w:rPr>
          <w:rStyle w:val="selectable"/>
          <w:i/>
          <w:iCs/>
          <w:color w:val="000000"/>
        </w:rPr>
        <w:t>Vertebrate Skeletal Development</w:t>
      </w:r>
      <w:r>
        <w:rPr>
          <w:rStyle w:val="selectable"/>
          <w:color w:val="000000"/>
        </w:rPr>
        <w:t xml:space="preserve">, 119-151. </w:t>
      </w:r>
      <w:hyperlink r:id="rId5" w:history="1">
        <w:r w:rsidRPr="00185021">
          <w:rPr>
            <w:rStyle w:val="Hyperlink"/>
          </w:rPr>
          <w:t>https://doi.org/10.1016/bs.ctdb.2018.11.002</w:t>
        </w:r>
      </w:hyperlink>
    </w:p>
    <w:p w:rsidR="00A30A9C" w:rsidP="00A30A9C">
      <w:pPr>
        <w:spacing w:line="480" w:lineRule="auto"/>
        <w:ind w:left="720" w:hanging="720"/>
        <w:rPr>
          <w:rStyle w:val="selectable"/>
          <w:color w:val="000000"/>
        </w:rPr>
      </w:pPr>
      <w:r>
        <w:rPr>
          <w:rStyle w:val="selectable"/>
          <w:color w:val="000000"/>
        </w:rPr>
        <w:t xml:space="preserve">Salva, J., &amp; Merrill, A. (2016). Signalling networks in joint development. </w:t>
      </w:r>
      <w:r>
        <w:rPr>
          <w:rStyle w:val="selectable"/>
          <w:i/>
          <w:iCs/>
          <w:color w:val="000000"/>
        </w:rPr>
        <w:t>Developmental Dynamics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246</w:t>
      </w:r>
      <w:r>
        <w:rPr>
          <w:rStyle w:val="selectable"/>
          <w:color w:val="000000"/>
        </w:rPr>
        <w:t xml:space="preserve">(4), 262-274. </w:t>
      </w:r>
      <w:hyperlink r:id="rId6" w:history="1">
        <w:r w:rsidRPr="00185021">
          <w:rPr>
            <w:rStyle w:val="Hyperlink"/>
          </w:rPr>
          <w:t>https://doi.org/10.1002/dvdy.24472</w:t>
        </w:r>
      </w:hyperlink>
    </w:p>
    <w:p w:rsidR="00A30A9C" w:rsidP="00DB6C2B">
      <w:pPr>
        <w:spacing w:line="259" w:lineRule="auto"/>
      </w:pPr>
    </w:p>
    <w:sectPr w:rsidSect="00DB6C2B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84A" w:rsidP="00C2184A">
    <w:pPr>
      <w:spacing w:line="480" w:lineRule="auto"/>
    </w:pPr>
    <w:r w:rsidRPr="00C2184A">
      <w:t>Joint Structure, Function and Movement Chart</w:t>
    </w:r>
    <w:r>
      <w:tab/>
    </w:r>
    <w:r>
      <w:tab/>
    </w:r>
    <w:r>
      <w:tab/>
    </w:r>
    <w:r>
      <w:tab/>
    </w:r>
    <w:r>
      <w:tab/>
    </w:r>
    <w:r>
      <w:tab/>
    </w:r>
    <w:sdt>
      <w:sdtPr>
        <w:id w:val="147176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0A9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2184A" w:rsidRPr="00C2184A" w:rsidP="00C218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A5"/>
    <w:rsid w:val="000774F1"/>
    <w:rsid w:val="000F0502"/>
    <w:rsid w:val="00137468"/>
    <w:rsid w:val="00181DD6"/>
    <w:rsid w:val="00185021"/>
    <w:rsid w:val="002D0AAB"/>
    <w:rsid w:val="003215A7"/>
    <w:rsid w:val="003F7C9E"/>
    <w:rsid w:val="00645050"/>
    <w:rsid w:val="00914092"/>
    <w:rsid w:val="00A27CD3"/>
    <w:rsid w:val="00A30A9C"/>
    <w:rsid w:val="00A95B5C"/>
    <w:rsid w:val="00AB7E8A"/>
    <w:rsid w:val="00B814A6"/>
    <w:rsid w:val="00B9176D"/>
    <w:rsid w:val="00BF29A2"/>
    <w:rsid w:val="00C2184A"/>
    <w:rsid w:val="00C94EEF"/>
    <w:rsid w:val="00D62FA5"/>
    <w:rsid w:val="00DB6C2B"/>
    <w:rsid w:val="00E76F7F"/>
    <w:rsid w:val="00F37112"/>
    <w:rsid w:val="00F76BFB"/>
    <w:rsid w:val="00F972E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973A59F-1A49-4017-96E0-154DF8E1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84A"/>
    <w:pPr>
      <w:spacing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184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2184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2184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2184A"/>
    <w:rPr>
      <w:sz w:val="24"/>
    </w:rPr>
  </w:style>
  <w:style w:type="character" w:customStyle="1" w:styleId="selectable">
    <w:name w:val="selectable"/>
    <w:basedOn w:val="DefaultParagraphFont"/>
    <w:rsid w:val="00137468"/>
  </w:style>
  <w:style w:type="character" w:styleId="Hyperlink">
    <w:name w:val="Hyperlink"/>
    <w:basedOn w:val="DefaultParagraphFont"/>
    <w:uiPriority w:val="99"/>
    <w:unhideWhenUsed/>
    <w:rsid w:val="00A30A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ncbi.nlm.nih.gov/books/NBK507893/#article-29816.s2" TargetMode="External" /><Relationship Id="rId5" Type="http://schemas.openxmlformats.org/officeDocument/2006/relationships/hyperlink" Target="https://doi.org/10.1016/bs.ctdb.2018.11.002" TargetMode="External" /><Relationship Id="rId6" Type="http://schemas.openxmlformats.org/officeDocument/2006/relationships/hyperlink" Target="https://doi.org/10.1002/dvdy.24472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7</cp:revision>
  <dcterms:created xsi:type="dcterms:W3CDTF">2020-10-09T04:39:00Z</dcterms:created>
  <dcterms:modified xsi:type="dcterms:W3CDTF">2020-10-10T07:56:00Z</dcterms:modified>
</cp:coreProperties>
</file>